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Testimony from the Woodlawn School Careers Week</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What the students said about this event:</w:t>
      </w:r>
    </w:p>
    <w:p w:rsidR="00000000" w:rsidDel="00000000" w:rsidP="00000000" w:rsidRDefault="00000000" w:rsidRPr="00000000" w14:paraId="00000004">
      <w:pPr>
        <w:rPr/>
      </w:pPr>
      <w:r w:rsidDel="00000000" w:rsidR="00000000" w:rsidRPr="00000000">
        <w:rPr>
          <w:rtl w:val="0"/>
        </w:rPr>
        <w:t xml:space="preserve">90% of the students who attended more than four events thought the Careers Week was fun and/or excellent.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More than 75% of the students who attended the Careers week strongly agreed that they knew more about the jobs they can do in the future and that the contributors made the event fun.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78% of students who had not completed a work experience placement at Woodlawn School said that they would look to complete one with our contributors in the future.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should do it all again’. Student in Primary Phase.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‘Rockpool School is amazing’. Student in Secondary Phase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learnt that I can still get my dream job even if I start with nothing [no formal qualifications]’. Student in Sixth Form Phase.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What our contributors and partners said about this event:</w:t>
      </w:r>
    </w:p>
    <w:p w:rsidR="00000000" w:rsidDel="00000000" w:rsidP="00000000" w:rsidRDefault="00000000" w:rsidRPr="00000000" w14:paraId="00000012">
      <w:pPr>
        <w:rPr>
          <w:color w:val="222222"/>
        </w:rPr>
      </w:pPr>
      <w:r w:rsidDel="00000000" w:rsidR="00000000" w:rsidRPr="00000000">
        <w:rPr>
          <w:rtl w:val="0"/>
        </w:rPr>
        <w:t xml:space="preserve">‘</w:t>
      </w:r>
      <w:r w:rsidDel="00000000" w:rsidR="00000000" w:rsidRPr="00000000">
        <w:rPr>
          <w:color w:val="222222"/>
          <w:rtl w:val="0"/>
        </w:rPr>
        <w:t xml:space="preserve">What a fantastic group of young people – I could see they found the session insightful. We’ll definitely come back to visit in the future’. Jess Mullarky, Newcastle United Foundation.</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‘My task showed numerous skills including, communication, teamwork, hand to eye coordination, resilience and an element of competition. The students seemed to really enjoy this session and I was very impressed by all the students, they were so respectful and welcoming’. Clare Angus, DWP.</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‘Participating in a Careers Week event at Woodlawn School was an enjoyable experience for all involved. The guidance that we received throughout the process was appreciated and allowed for the most beneficial outcome to be achieved. Andrew was open to hearing about the company we are a part of, and our honest experiences. As a neurodiverse individual, it was lovely to witness similar students being supported and inspired by the teaching staff at Woodlawn’. Beth Lawrence, ARUP Engineering.</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‘The kids were fab and the school was lovely’. Dr Jennifer Deane, Research Scientist, Newcastle University.</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‘The Career Lead obviously knows his students and how to engage them in the sessions so [the event] felt really beneficial for both parties….  if you could pass on to Woodlawn School how fantastic the students are’. Gillian Hartis, Virgin Money UK</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