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6.19140625" w:line="330.89959144592285" w:lineRule="auto"/>
        <w:ind w:left="376.4085388183594" w:right="1000.047607421875" w:firstLine="1170.8421325683594"/>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Careers Education, Information Advice and Guidance (CEIAG) Progression Model 2023 Curriculum Links:</w:t>
      </w:r>
      <w:r w:rsidDel="00000000" w:rsidR="00000000" w:rsidRPr="00000000">
        <w:drawing>
          <wp:anchor allowOverlap="1" behindDoc="0" distB="19050" distT="19050" distL="19050" distR="19050" hidden="0" layoutInCell="1" locked="0" relativeHeight="0" simplePos="0">
            <wp:simplePos x="0" y="0"/>
            <wp:positionH relativeFrom="column">
              <wp:posOffset>-137418</wp:posOffset>
            </wp:positionH>
            <wp:positionV relativeFrom="paragraph">
              <wp:posOffset>-435731</wp:posOffset>
            </wp:positionV>
            <wp:extent cx="1247775" cy="752475"/>
            <wp:effectExtent b="0" l="0" r="0" t="0"/>
            <wp:wrapSquare wrapText="bothSides" distB="19050" distT="19050" distL="19050" distR="1905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7775" cy="752475"/>
                    </a:xfrm>
                    <a:prstGeom prst="rect"/>
                    <a:ln/>
                  </pic:spPr>
                </pic:pic>
              </a:graphicData>
            </a:graphic>
          </wp:anchor>
        </w:drawing>
      </w:r>
    </w:p>
    <w:tbl>
      <w:tblPr>
        <w:tblStyle w:val="Table1"/>
        <w:tblW w:w="13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20"/>
        <w:tblGridChange w:id="0">
          <w:tblGrid>
            <w:gridCol w:w="13620"/>
          </w:tblGrid>
        </w:tblGridChange>
      </w:tblGrid>
      <w:tr>
        <w:trPr>
          <w:cantSplit w:val="0"/>
          <w:trHeight w:val="10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2158794403076" w:lineRule="auto"/>
              <w:ind w:left="133.9599609375" w:right="101.982421875" w:firstLine="9.199981689453125"/>
              <w:jc w:val="left"/>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CPD: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network moderation, Early years curriculum, Integrated education and therapy,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nduction to new staff, Links with North Tyneside Careers Service; Attendance at Network meetings; Annual Careers Conference; Business Breakfasts; NELEP; NE Careers &amp; Enterprise; Staff Working Party. Coaching and mentoring approach to increase consistency</w:t>
            </w:r>
            <w:r w:rsidDel="00000000" w:rsidR="00000000" w:rsidRPr="00000000">
              <w:rPr>
                <w:rtl w:val="0"/>
              </w:rPr>
              <w:t xml:space="preserve">, Partnerships with World or Work Network, Newcastle United Foundation: NU Futures programme.</w:t>
            </w:r>
          </w:p>
        </w:tc>
      </w:tr>
      <w:tr>
        <w:trPr>
          <w:cantSplit w:val="0"/>
          <w:trHeight w:val="3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400695800781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Intent: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31.97998046875" w:right="55.19409179687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deliver a coherent sequence of learning from EYFS to Key Stage 5. The Careers curriculum learning is split into three stages. This is to enable a more personalised style of learning in keeping with the ethos of the school operating a ‘stage not age’ policy. We have adapted the programme using the CDI framework and in line with the Gatsby Benchmarks. It grants teachers the flexibility to decide and adapt learning to meet the needs of the cohort they are working with. Careers education forms part of the PSHE curriculum until students reach the 14-19 programme </w:t>
            </w:r>
            <w:r w:rsidDel="00000000" w:rsidR="00000000" w:rsidRPr="00000000">
              <w:rPr>
                <w:rtl w:val="0"/>
              </w:rPr>
              <w:t xml:space="preserve">as then the units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taught discretely as </w:t>
            </w:r>
            <w:r w:rsidDel="00000000" w:rsidR="00000000" w:rsidRPr="00000000">
              <w:rPr>
                <w:rtl w:val="0"/>
              </w:rPr>
              <w:t xml:space="preserve">part of the PSHE offer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Teachers reflect on what content is appropriate for pupils dependent on their; cognitive, behavioural, physical , communication and sensory needs. The method of teaching is based upon ensuring acquisition of skills and </w:t>
            </w:r>
            <w:r w:rsidDel="00000000" w:rsidR="00000000" w:rsidRPr="00000000">
              <w:rPr>
                <w:rtl w:val="0"/>
              </w:rPr>
              <w:t xml:space="preserve">understanding of qualities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well as empowering and inspiring pupils through progress linked to their EHCP/PLP targets. Teachers plan a small steps approach with systematic repetition and increasing content to make sure it is used functionally across different contexts (depth of learning). Our CEIAG Programme prepares all pupils for the opportunities, responsibilities and experiences of life and future success, through focusing learning within a wide, rich set of inclusive and aspirational experiences. We also </w:t>
            </w:r>
            <w:r w:rsidDel="00000000" w:rsidR="00000000" w:rsidRPr="00000000">
              <w:rPr>
                <w:rtl w:val="0"/>
              </w:rPr>
              <w:t xml:space="preserve">ensure we meet the expectations of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Baker Clause</w:t>
            </w:r>
            <w:r w:rsidDel="00000000" w:rsidR="00000000" w:rsidRPr="00000000">
              <w:rPr>
                <w:rtl w:val="0"/>
              </w:rPr>
              <w:t xml:space="preserve">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our Provider Access Legislation </w:t>
            </w:r>
            <w:r w:rsidDel="00000000" w:rsidR="00000000" w:rsidRPr="00000000">
              <w:rPr>
                <w:rtl w:val="0"/>
              </w:rPr>
              <w:t xml:space="preserve">allows our students to a range of vocational skills providers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value and mark the cultural capital that every child brings to school and support them to develop a positive sense of their own identity and culture.</w:t>
            </w:r>
          </w:p>
        </w:tc>
      </w:tr>
      <w:tr>
        <w:trPr>
          <w:cantSplit w:val="0"/>
          <w:trHeight w:val="2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400695800781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Implementation: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3867263794" w:lineRule="auto"/>
              <w:ind w:left="133.9599609375" w:right="149.6337890625" w:firstLine="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(Implementation): Lesson activities are appropriate yet challenging for pupils and related to their EHCP/PLP targets. Pace and depth of learning is personalised, supporting pupil motivation and engagement; CEIAG is linked to PSHE curriculum, and PLPs targets throughout the school and planning reflects this. Individual pupil aspirations and destination data are used to inform practice. CEIAG Programme is differentiated in each Phase as appropriate with the use of external agencies to enhance delivery and experience. We have links with external agencies and partners to provide careers guidance, support and work experience throughout the school year including: DWP (Department for Work and Pensions), NTLT (North Tyneside Learning Trust, Connexions, The Careers &amp; Enterprise Company, Northumbria Youth Action Ltd, Cafe Beam, Newcastle United Foun</w:t>
            </w:r>
            <w:r w:rsidDel="00000000" w:rsidR="00000000" w:rsidRPr="00000000">
              <w:rPr>
                <w:rtl w:val="0"/>
              </w:rPr>
              <w:t xml:space="preserve">dation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Ouseburn Farm Charity amongst others. Staff have access to</w:t>
            </w:r>
            <w:r w:rsidDel="00000000" w:rsidR="00000000" w:rsidRPr="00000000">
              <w:rPr>
                <w:rtl w:val="0"/>
              </w:rPr>
              <w:t xml:space="preserve"> the Compass + platform to monitor and assess student access to their own Careers programme.</w:t>
            </w:r>
            <w:r w:rsidDel="00000000" w:rsidR="00000000" w:rsidRPr="00000000">
              <w:rPr>
                <w:rtl w:val="0"/>
              </w:rPr>
            </w:r>
          </w:p>
        </w:tc>
      </w:tr>
      <w:tr>
        <w:trPr>
          <w:cantSplit w:val="0"/>
          <w:trHeight w:val="2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0400695800781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Impact: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67282867432" w:lineRule="auto"/>
              <w:ind w:left="131.97998046875" w:right="81.016845703125" w:firstLine="14.96002197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make good progress and achieve highly by accessing appropriate content</w:t>
            </w:r>
            <w:r w:rsidDel="00000000" w:rsidR="00000000" w:rsidRPr="00000000">
              <w:rPr>
                <w:rtl w:val="0"/>
              </w:rPr>
              <w:t xml:space="preserve"> which meets the needs of every student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CEIAG curriculum follows a progression model that identifies the most useful knowledge, concepts and skills for cumulative sufficiency. Assessment ensures content is retained, identifying those pupils that need further support and triangulated with PLP targets and intervention as needed. Teachers are aware of previous learning, current learning and future learning due to a shared CEIAG framework for learning. There is a solid understanding of the sequence of learning and an individual pupils pathway, allowing challenging, relevant targets to be set. Termly Compass Audit shows school Benchmark compliance compared to National Average. Pupils make successful transitions to appropriate and supportive destinations.</w:t>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47775" cy="752475"/>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47775" cy="752475"/>
                    </a:xfrm>
                    <a:prstGeom prst="rect"/>
                    <a:ln/>
                  </pic:spPr>
                </pic:pic>
              </a:graphicData>
            </a:graphic>
          </wp:inline>
        </w:drawing>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Careers Education, Information Advice and Guidance (CEIAG) Progression Model 2023 </w:t>
      </w:r>
    </w:p>
    <w:tbl>
      <w:tblPr>
        <w:tblStyle w:val="Table2"/>
        <w:tblW w:w="13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20"/>
        <w:tblGridChange w:id="0">
          <w:tblGrid>
            <w:gridCol w:w="13620"/>
          </w:tblGrid>
        </w:tblGridChange>
      </w:tblGrid>
      <w:tr>
        <w:trPr>
          <w:cantSplit w:val="0"/>
          <w:trHeight w:val="20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4400634765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Extending Literacy Skills: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Range of resources sourced to support pupils and staff.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Pupils use appropriate texts and visual support.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509.1400146484375" w:right="748.80493164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Pupils develop understanding through real life and practical situations and with support from outside agencies and partners. ● Pupils have a plethora of opportunities for interactions and asking questions.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2021484375" w:line="240" w:lineRule="auto"/>
              <w:ind w:left="50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Human Library concept supports diversity and equality.</w:t>
            </w:r>
          </w:p>
        </w:tc>
      </w:tr>
      <w:tr>
        <w:trPr>
          <w:cantSplit w:val="0"/>
          <w:trHeight w:val="1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1599426269531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Cultural Capital: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32.64007568359375" w:right="134.290771484375" w:firstLine="8.359985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Cultural capital is the essential knowledge pupils need to prepare them for their future success in the world of work. The pupils of Woodlawn School arrive at school with different and sometimes limited experiences. We aim to prepare them for what comes next in their lives. This includes essential communication skills and the ability to use skills in different life situations.</w:t>
            </w:r>
          </w:p>
        </w:tc>
      </w:tr>
    </w:tb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4400634765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Pupil Cohorts and requirements: </w:t>
      </w:r>
    </w:p>
    <w:tbl>
      <w:tblPr>
        <w:tblStyle w:val="Table3"/>
        <w:tblW w:w="13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80"/>
        <w:gridCol w:w="4540"/>
        <w:tblGridChange w:id="0">
          <w:tblGrid>
            <w:gridCol w:w="9080"/>
            <w:gridCol w:w="4540"/>
          </w:tblGrid>
        </w:tblGridChange>
      </w:tblGrid>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5820922851562" w:right="0" w:firstLine="0"/>
              <w:jc w:val="left"/>
              <w:rPr>
                <w:rFonts w:ascii="Arial" w:cs="Arial" w:eastAsia="Arial" w:hAnsi="Arial"/>
                <w:b w:val="1"/>
                <w:i w:val="0"/>
                <w:smallCaps w:val="0"/>
                <w:strike w:val="0"/>
                <w:color w:val="000000"/>
                <w:sz w:val="28"/>
                <w:szCs w:val="28"/>
                <w:u w:val="none"/>
                <w:shd w:fill="a8d08d" w:val="clear"/>
                <w:vertAlign w:val="baseline"/>
              </w:rPr>
            </w:pPr>
            <w:r w:rsidDel="00000000" w:rsidR="00000000" w:rsidRPr="00000000">
              <w:rPr>
                <w:rFonts w:ascii="Arial" w:cs="Arial" w:eastAsia="Arial" w:hAnsi="Arial"/>
                <w:b w:val="1"/>
                <w:i w:val="0"/>
                <w:smallCaps w:val="0"/>
                <w:strike w:val="0"/>
                <w:color w:val="000000"/>
                <w:sz w:val="28"/>
                <w:szCs w:val="28"/>
                <w:u w:val="none"/>
                <w:shd w:fill="a8d08d" w:val="clear"/>
                <w:vertAlign w:val="baseline"/>
                <w:rtl w:val="0"/>
              </w:rPr>
              <w:t xml:space="preserve">Pupil cohort 1 Pupil cohort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8d08d" w:val="clear"/>
                <w:vertAlign w:val="baseline"/>
              </w:rPr>
            </w:pPr>
            <w:r w:rsidDel="00000000" w:rsidR="00000000" w:rsidRPr="00000000">
              <w:rPr>
                <w:rFonts w:ascii="Arial" w:cs="Arial" w:eastAsia="Arial" w:hAnsi="Arial"/>
                <w:b w:val="1"/>
                <w:i w:val="0"/>
                <w:smallCaps w:val="0"/>
                <w:strike w:val="0"/>
                <w:color w:val="000000"/>
                <w:sz w:val="28"/>
                <w:szCs w:val="28"/>
                <w:u w:val="none"/>
                <w:shd w:fill="a8d08d" w:val="clear"/>
                <w:vertAlign w:val="baseline"/>
                <w:rtl w:val="0"/>
              </w:rPr>
              <w:t xml:space="preserve">Pupil cohort 3</w:t>
            </w:r>
          </w:p>
        </w:tc>
      </w:tr>
      <w:tr>
        <w:trPr>
          <w:cantSplit w:val="0"/>
          <w:trHeight w:val="1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with significant and complex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33691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with complex physical/ medical/learning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physical/medical/sensory/language and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800476074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needs.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have significant barriers to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800476074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18645477295" w:lineRule="auto"/>
              <w:ind w:left="139.520263671875" w:right="59.29931640625" w:firstLine="2.41943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with one or several of physical, medical, sensory, language or learning needs.</w:t>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1920" w:w="16840" w:orient="landscape"/>
          <w:pgMar w:bottom="977.6611328125" w:top="242.998046875" w:left="1310" w:right="1405.562744140625" w:header="0" w:footer="720"/>
          <w:pgNumType w:start="1"/>
        </w:sect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18645477295" w:lineRule="auto"/>
        <w:ind w:left="0" w:right="569.2669677734375" w:firstLine="12.98004150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require high levels of 1:1 support to meet their physical, medical, sensory, language and learning needs.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9384765625" w:line="229.88847255706787" w:lineRule="auto"/>
        <w:ind w:left="0" w:right="537.4560546875" w:firstLine="12.98004150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access a learning environment that develops social communication and emotional regulation through targeted support. Careers skills are developed through Learning objectives linked to social communication and emotional regulation, Supportive routines, PSHE Curriculum framework, Therapeutic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0" w:right="73.2128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require 1:1 support to meet physical/ medical/sensory /language/ learning needs at planned times through the school day. Careers is taught as a discrete subject. Learners develop Vocational Options from: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5073242187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PSHE Curriculum framework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EHCP/PLP targets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Therapeutic interventions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 play and scenario learning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68188476562" w:line="229.88792896270752" w:lineRule="auto"/>
        <w:ind w:left="0" w:right="85.581054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focus on PLP targets to support learners on their learning journey.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18645477295" w:lineRule="auto"/>
        <w:ind w:left="111.700439453125" w:right="16.09375" w:firstLine="16.2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require 1:1 support occasionally but are usually able to access small group working through the school day.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9384765625" w:line="229.88847255706787" w:lineRule="auto"/>
        <w:ind w:left="115" w:right="14.068603515625" w:firstLine="12.97973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are kinaesthetic learners and rely heavily upon practical and visual resources to support their learning.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6744384765625" w:line="229.88885879516602" w:lineRule="auto"/>
        <w:ind w:left="117.860107421875" w:right="13.055419921875" w:firstLine="4.1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Careers is taught as a discrete subject. Learners consolidate and develop careers skills in a formal learning environment in preparation for: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6439208984375" w:line="229.88847255706787" w:lineRule="auto"/>
        <w:ind w:left="120.93994140625" w:right="702.333984375" w:hanging="9.019775390625"/>
        <w:jc w:val="left"/>
        <w:rPr>
          <w:rFonts w:ascii="Arial" w:cs="Arial" w:eastAsia="Arial" w:hAnsi="Arial"/>
          <w:b w:val="0"/>
          <w:i w:val="0"/>
          <w:smallCaps w:val="0"/>
          <w:strike w:val="0"/>
          <w:color w:val="000000"/>
          <w:sz w:val="22"/>
          <w:szCs w:val="22"/>
          <w:u w:val="single"/>
          <w:shd w:fill="auto" w:val="clear"/>
          <w:vertAlign w:val="baseline"/>
        </w:rPr>
        <w:sectPr>
          <w:type w:val="continuous"/>
          <w:pgSz w:h="11920" w:w="16840" w:orient="landscape"/>
          <w:pgMar w:bottom="977.6611328125" w:top="242.998046875" w:left="1443.9599609375" w:right="1969.095458984375" w:header="0" w:footer="720"/>
          <w:cols w:equalWidth="0" w:num="3">
            <w:col w:space="0" w:w="4480"/>
            <w:col w:space="0" w:w="4480"/>
            <w:col w:space="0" w:w="4480"/>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Vocational options and accreditations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Student-directed learning</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Pr>
        <w:drawing>
          <wp:inline distB="19050" distT="19050" distL="19050" distR="19050">
            <wp:extent cx="1247775" cy="752475"/>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247775" cy="752475"/>
                    </a:xfrm>
                    <a:prstGeom prst="rect"/>
                    <a:ln/>
                  </pic:spPr>
                </pic:pic>
              </a:graphicData>
            </a:graphic>
          </wp:inline>
        </w:drawing>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Careers Education, Information Advice and Guidance (CEIAG) Progression Model 2023 </w:t>
      </w:r>
    </w:p>
    <w:tbl>
      <w:tblPr>
        <w:tblStyle w:val="Table4"/>
        <w:tblW w:w="13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80"/>
        <w:gridCol w:w="4540"/>
        <w:tblGridChange w:id="0">
          <w:tblGrid>
            <w:gridCol w:w="9080"/>
            <w:gridCol w:w="4540"/>
          </w:tblGrid>
        </w:tblGridChange>
      </w:tblGrid>
      <w:tr>
        <w:trPr>
          <w:cantSplit w:val="0"/>
          <w:trHeight w:val="5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interventions, Role play and scenario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9277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curriculum is a highly engaging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800476074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0332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multi-sensory kinaesthetic approach to learning.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0599670410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and learning is connected to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877441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are supported and encouraged to work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PLP targets.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3.10607910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independently as appropriate.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40" w:lineRule="auto"/>
              <w:ind w:left="14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are kinaesthetic learners and rely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heavily upon practical and visual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2999267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resources to support their learning.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40" w:lineRule="auto"/>
              <w:ind w:left="135.0599670410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curriculum is a highly engaging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multi-sensory curriculum where pupils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92007446289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supported to explore their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139953613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1680908203125" w:line="240" w:lineRule="auto"/>
              <w:ind w:left="14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may have a significant delay in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79931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may have a moderate delay in their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959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learning as compared to their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0.164794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as compared to their mainstream peers.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mainstream peers.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97949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careers guidance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380371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EHCP/PLP targets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40380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Experience (KS5)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939697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PSHEE Curriculum framework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29.88847255706787" w:lineRule="auto"/>
              <w:ind w:left="139.520263671875" w:right="60.06103515625" w:firstLine="2.41943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PLP targets ensure that all learning is purposeful and learners are prepared for the next stage.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7177734375" w:line="229.88847255706787" w:lineRule="auto"/>
              <w:ind w:left="139.07958984375" w:right="59.6728515625" w:hanging="9.019775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curriculum is a highly engaging multi-sensory kinaesthetic approach to learning. Pupils are supported at times and increasingly encouraged to work independently.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4583740234375" w:line="229.88847255706787" w:lineRule="auto"/>
              <w:ind w:left="131.820068359375" w:right="58.80859375" w:firstLine="10.119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may have a slight/ moderate delay in some areas of learning but also have significant strengths. Pupils may be gifted and talented and working at levels significantly above their mainstream peers in their subjects of strength.</w:t>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870422363281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See route 1. See route 2. See route 3.</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6.1962890625" w:line="330.8978748321533" w:lineRule="auto"/>
        <w:ind w:left="143.15994262695312" w:right="1000.047607421875" w:firstLine="1404.0907287597656"/>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Careers Education, Information Advice and Guidance (CEIAG) Progression Model 2023 Curriculum routes:</w:t>
      </w:r>
      <w:r w:rsidDel="00000000" w:rsidR="00000000" w:rsidRPr="00000000">
        <w:drawing>
          <wp:anchor allowOverlap="1" behindDoc="0" distB="19050" distT="19050" distL="19050" distR="19050" hidden="0" layoutInCell="1" locked="0" relativeHeight="0" simplePos="0">
            <wp:simplePos x="0" y="0"/>
            <wp:positionH relativeFrom="column">
              <wp:posOffset>10694</wp:posOffset>
            </wp:positionH>
            <wp:positionV relativeFrom="paragraph">
              <wp:posOffset>-435734</wp:posOffset>
            </wp:positionV>
            <wp:extent cx="1247775" cy="752475"/>
            <wp:effectExtent b="0" l="0" r="0" t="0"/>
            <wp:wrapSquare wrapText="bothSides" distB="19050" distT="19050" distL="19050" distR="1905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247775" cy="752475"/>
                    </a:xfrm>
                    <a:prstGeom prst="rect"/>
                    <a:ln/>
                  </pic:spPr>
                </pic:pic>
              </a:graphicData>
            </a:graphic>
          </wp:anchor>
        </w:drawing>
      </w:r>
    </w:p>
    <w:tbl>
      <w:tblPr>
        <w:tblStyle w:val="Table5"/>
        <w:tblW w:w="13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0"/>
        <w:gridCol w:w="2760.0003051757812"/>
        <w:gridCol w:w="9839.999694824219"/>
        <w:tblGridChange w:id="0">
          <w:tblGrid>
            <w:gridCol w:w="1000"/>
            <w:gridCol w:w="2760.0003051757812"/>
            <w:gridCol w:w="9839.999694824219"/>
          </w:tblGrid>
        </w:tblGridChange>
      </w:tblGrid>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2007446289062" w:right="0" w:firstLine="0"/>
              <w:jc w:val="left"/>
              <w:rPr>
                <w:rFonts w:ascii="Arial" w:cs="Arial" w:eastAsia="Arial" w:hAnsi="Arial"/>
                <w:b w:val="1"/>
                <w:i w:val="0"/>
                <w:smallCaps w:val="0"/>
                <w:strike w:val="0"/>
                <w:color w:val="000000"/>
                <w:sz w:val="22"/>
                <w:szCs w:val="22"/>
                <w:u w:val="none"/>
                <w:shd w:fill="a8d08d" w:val="clear"/>
                <w:vertAlign w:val="baseline"/>
              </w:rPr>
            </w:pPr>
            <w:r w:rsidDel="00000000" w:rsidR="00000000" w:rsidRPr="00000000">
              <w:rPr>
                <w:rFonts w:ascii="Arial" w:cs="Arial" w:eastAsia="Arial" w:hAnsi="Arial"/>
                <w:b w:val="1"/>
                <w:i w:val="0"/>
                <w:smallCaps w:val="0"/>
                <w:strike w:val="0"/>
                <w:color w:val="000000"/>
                <w:sz w:val="22"/>
                <w:szCs w:val="22"/>
                <w:u w:val="none"/>
                <w:shd w:fill="a8d08d" w:val="clear"/>
                <w:vertAlign w:val="baseline"/>
                <w:rtl w:val="0"/>
              </w:rPr>
              <w:t xml:space="preserve">Stage in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9969482421875" w:right="0" w:firstLine="0"/>
              <w:jc w:val="left"/>
              <w:rPr>
                <w:rFonts w:ascii="Arial" w:cs="Arial" w:eastAsia="Arial" w:hAnsi="Arial"/>
                <w:b w:val="1"/>
                <w:i w:val="0"/>
                <w:smallCaps w:val="0"/>
                <w:strike w:val="0"/>
                <w:color w:val="000000"/>
                <w:sz w:val="22"/>
                <w:szCs w:val="22"/>
                <w:u w:val="none"/>
                <w:shd w:fill="a8d08d" w:val="clear"/>
                <w:vertAlign w:val="baseline"/>
              </w:rPr>
            </w:pPr>
            <w:r w:rsidDel="00000000" w:rsidR="00000000" w:rsidRPr="00000000">
              <w:rPr>
                <w:rFonts w:ascii="Arial" w:cs="Arial" w:eastAsia="Arial" w:hAnsi="Arial"/>
                <w:b w:val="1"/>
                <w:i w:val="0"/>
                <w:smallCaps w:val="0"/>
                <w:strike w:val="0"/>
                <w:color w:val="000000"/>
                <w:sz w:val="22"/>
                <w:szCs w:val="22"/>
                <w:u w:val="none"/>
                <w:shd w:fill="a8d08d" w:val="clear"/>
                <w:vertAlign w:val="baseline"/>
                <w:rtl w:val="0"/>
              </w:rPr>
              <w:t xml:space="preserve">Age Curriculum</w:t>
            </w:r>
          </w:p>
        </w:tc>
      </w:tr>
      <w:tr>
        <w:trPr>
          <w:cantSplit w:val="0"/>
          <w:trHeight w:val="10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Route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38006591796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Years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040008544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9000549316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3980712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23.51959228515625" w:right="817.6171875" w:firstLine="997.479858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based exploration of the world around the pupil using the senses.years </w:t>
            </w:r>
          </w:p>
        </w:tc>
      </w:tr>
      <w:tr>
        <w:trPr>
          <w:cantSplit w:val="0"/>
          <w:trHeight w:val="7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0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KS1 and 2 (Primary)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3980712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5-11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23.51959228515625" w:right="55.748291015625" w:firstLine="1003.85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Extending skills to explore the world using a sensory based curriculum. Bespoke years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819763183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skill-based assessment e.g. Phonic screening and KS1 and 2 SAT’s.</w:t>
            </w:r>
          </w:p>
        </w:tc>
      </w:tr>
      <w:tr>
        <w:trPr>
          <w:cantSplit w:val="0"/>
          <w:trHeight w:val="12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0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KS3 and 4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1995239257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79797363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11-16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8.03985595703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Functional skills curriculum – AQA KS3, 4 awards.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1959228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0.999450683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379455566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Enterprise Accreditation.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0.6594848632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Yr 9 Connexions.</w:t>
            </w:r>
          </w:p>
        </w:tc>
      </w:tr>
      <w:tr>
        <w:trPr>
          <w:cantSplit w:val="0"/>
          <w:trHeight w:val="5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0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KS5 (Post 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79797363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16-18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9.999694824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ASDAN qualifications – Towards independence.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1959228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379455566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Entry level 1 qualifications</w:t>
            </w:r>
          </w:p>
        </w:tc>
      </w:tr>
    </w:tb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3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2680.0003051757812"/>
        <w:gridCol w:w="9919.999694824219"/>
        <w:tblGridChange w:id="0">
          <w:tblGrid>
            <w:gridCol w:w="1020"/>
            <w:gridCol w:w="2680.0003051757812"/>
            <w:gridCol w:w="9919.999694824219"/>
          </w:tblGrid>
        </w:tblGridChange>
      </w:tblGrid>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007446289062" w:right="0" w:firstLine="0"/>
              <w:jc w:val="left"/>
              <w:rPr>
                <w:rFonts w:ascii="Arial" w:cs="Arial" w:eastAsia="Arial" w:hAnsi="Arial"/>
                <w:b w:val="1"/>
                <w:i w:val="0"/>
                <w:smallCaps w:val="0"/>
                <w:strike w:val="0"/>
                <w:color w:val="000000"/>
                <w:sz w:val="22"/>
                <w:szCs w:val="22"/>
                <w:u w:val="none"/>
                <w:shd w:fill="a8d08d" w:val="clear"/>
                <w:vertAlign w:val="baseline"/>
              </w:rPr>
            </w:pPr>
            <w:r w:rsidDel="00000000" w:rsidR="00000000" w:rsidRPr="00000000">
              <w:rPr>
                <w:rFonts w:ascii="Arial" w:cs="Arial" w:eastAsia="Arial" w:hAnsi="Arial"/>
                <w:b w:val="1"/>
                <w:i w:val="0"/>
                <w:smallCaps w:val="0"/>
                <w:strike w:val="0"/>
                <w:color w:val="000000"/>
                <w:sz w:val="22"/>
                <w:szCs w:val="22"/>
                <w:u w:val="none"/>
                <w:shd w:fill="a8d08d" w:val="clear"/>
                <w:vertAlign w:val="baseline"/>
                <w:rtl w:val="0"/>
              </w:rPr>
              <w:t xml:space="preserve">Stage in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9969482421875" w:right="0" w:firstLine="0"/>
              <w:jc w:val="left"/>
              <w:rPr>
                <w:rFonts w:ascii="Arial" w:cs="Arial" w:eastAsia="Arial" w:hAnsi="Arial"/>
                <w:b w:val="1"/>
                <w:i w:val="0"/>
                <w:smallCaps w:val="0"/>
                <w:strike w:val="0"/>
                <w:color w:val="000000"/>
                <w:sz w:val="22"/>
                <w:szCs w:val="22"/>
                <w:u w:val="none"/>
                <w:shd w:fill="a8d08d" w:val="clear"/>
                <w:vertAlign w:val="baseline"/>
              </w:rPr>
            </w:pPr>
            <w:r w:rsidDel="00000000" w:rsidR="00000000" w:rsidRPr="00000000">
              <w:rPr>
                <w:rFonts w:ascii="Arial" w:cs="Arial" w:eastAsia="Arial" w:hAnsi="Arial"/>
                <w:b w:val="1"/>
                <w:i w:val="0"/>
                <w:smallCaps w:val="0"/>
                <w:strike w:val="0"/>
                <w:color w:val="000000"/>
                <w:sz w:val="22"/>
                <w:szCs w:val="22"/>
                <w:u w:val="none"/>
                <w:shd w:fill="a8d08d" w:val="clear"/>
                <w:vertAlign w:val="baseline"/>
                <w:rtl w:val="0"/>
              </w:rPr>
              <w:t xml:space="preserve">Age Curriculum</w:t>
            </w:r>
          </w:p>
        </w:tc>
      </w:tr>
      <w:tr>
        <w:trPr>
          <w:cantSplit w:val="0"/>
          <w:trHeight w:val="7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Route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000305175781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903045654297" w:lineRule="auto"/>
              <w:ind w:left="124.90005493164062" w:right="51.95892333984375" w:firstLine="7.480010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Years Foundation Stage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3980712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0.33966064453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areas of EYFS – Pupils achieving emerging level.</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1959228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years </w:t>
            </w:r>
          </w:p>
        </w:tc>
      </w:tr>
      <w:tr>
        <w:trPr>
          <w:cantSplit w:val="0"/>
          <w:trHeight w:val="7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KS1 and 2 (Primary)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3980712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5-11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738536834717" w:lineRule="auto"/>
              <w:ind w:left="123.51959228515625" w:right="68.389892578125" w:firstLine="1003.4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Practical engagement facilitated learning. Bespoke skill based assessment e.g. Phonic years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819763183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screening and KS1 and 2 SAT’s.</w:t>
            </w:r>
          </w:p>
        </w:tc>
      </w:tr>
      <w:tr>
        <w:trPr>
          <w:cantSplit w:val="0"/>
          <w:trHeight w:val="96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KS3 and 4 (Secondary)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79797363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11-16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9.999694824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AQA award scheme Enterprise qualification.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1959228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0.6594848632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Yr 9 Connexions.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6.0598754882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KS4 – GCSE – Foundation papers.</w:t>
            </w:r>
          </w:p>
        </w:tc>
      </w:tr>
      <w:tr>
        <w:trPr>
          <w:cantSplit w:val="0"/>
          <w:trHeight w:val="940.0003051757812"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KS5 (Post 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79797363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16-18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9.999694824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ASDAN qualifications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1959228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379455566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Entry level 1,2 qualifications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6.0598754882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KS5 – GCSE – Foundation papers.</w:t>
            </w:r>
          </w:p>
        </w:tc>
      </w:tr>
    </w:tbl>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47775" cy="752475"/>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247775" cy="752475"/>
                    </a:xfrm>
                    <a:prstGeom prst="rect"/>
                    <a:ln/>
                  </pic:spPr>
                </pic:pic>
              </a:graphicData>
            </a:graphic>
          </wp:inline>
        </w:drawing>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Careers Education, Information Advice and Guidance (CEIAG) Progression Model 2023 </w:t>
      </w:r>
    </w:p>
    <w:tbl>
      <w:tblPr>
        <w:tblStyle w:val="Table7"/>
        <w:tblW w:w="13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2680.0003051757812"/>
        <w:gridCol w:w="9919.999694824219"/>
        <w:tblGridChange w:id="0">
          <w:tblGrid>
            <w:gridCol w:w="1020"/>
            <w:gridCol w:w="2680.0003051757812"/>
            <w:gridCol w:w="9919.999694824219"/>
          </w:tblGrid>
        </w:tblGridChange>
      </w:tblGrid>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007446289062" w:right="0" w:firstLine="0"/>
              <w:jc w:val="left"/>
              <w:rPr>
                <w:rFonts w:ascii="Arial" w:cs="Arial" w:eastAsia="Arial" w:hAnsi="Arial"/>
                <w:b w:val="1"/>
                <w:i w:val="0"/>
                <w:smallCaps w:val="0"/>
                <w:strike w:val="0"/>
                <w:color w:val="000000"/>
                <w:sz w:val="22"/>
                <w:szCs w:val="22"/>
                <w:u w:val="none"/>
                <w:shd w:fill="a8d08d" w:val="clear"/>
                <w:vertAlign w:val="baseline"/>
              </w:rPr>
            </w:pPr>
            <w:r w:rsidDel="00000000" w:rsidR="00000000" w:rsidRPr="00000000">
              <w:rPr>
                <w:rFonts w:ascii="Arial" w:cs="Arial" w:eastAsia="Arial" w:hAnsi="Arial"/>
                <w:b w:val="1"/>
                <w:i w:val="0"/>
                <w:smallCaps w:val="0"/>
                <w:strike w:val="0"/>
                <w:color w:val="000000"/>
                <w:sz w:val="22"/>
                <w:szCs w:val="22"/>
                <w:u w:val="none"/>
                <w:shd w:fill="a8d08d" w:val="clear"/>
                <w:vertAlign w:val="baseline"/>
                <w:rtl w:val="0"/>
              </w:rPr>
              <w:t xml:space="preserve">Stage in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9969482421875" w:right="0" w:firstLine="0"/>
              <w:jc w:val="left"/>
              <w:rPr>
                <w:rFonts w:ascii="Arial" w:cs="Arial" w:eastAsia="Arial" w:hAnsi="Arial"/>
                <w:b w:val="1"/>
                <w:i w:val="0"/>
                <w:smallCaps w:val="0"/>
                <w:strike w:val="0"/>
                <w:color w:val="000000"/>
                <w:sz w:val="22"/>
                <w:szCs w:val="22"/>
                <w:u w:val="none"/>
                <w:shd w:fill="a8d08d" w:val="clear"/>
                <w:vertAlign w:val="baseline"/>
              </w:rPr>
            </w:pPr>
            <w:r w:rsidDel="00000000" w:rsidR="00000000" w:rsidRPr="00000000">
              <w:rPr>
                <w:rFonts w:ascii="Arial" w:cs="Arial" w:eastAsia="Arial" w:hAnsi="Arial"/>
                <w:b w:val="1"/>
                <w:i w:val="0"/>
                <w:smallCaps w:val="0"/>
                <w:strike w:val="0"/>
                <w:color w:val="000000"/>
                <w:sz w:val="22"/>
                <w:szCs w:val="22"/>
                <w:u w:val="none"/>
                <w:shd w:fill="a8d08d" w:val="clear"/>
                <w:vertAlign w:val="baseline"/>
                <w:rtl w:val="0"/>
              </w:rPr>
              <w:t xml:space="preserve">Age Curriculum</w:t>
            </w:r>
          </w:p>
        </w:tc>
      </w:tr>
      <w:tr>
        <w:trPr>
          <w:cantSplit w:val="0"/>
          <w:trHeight w:val="7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Route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59985351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24.90005493164062" w:right="51.95892333984375" w:firstLine="7.480010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Years Foundation Stage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3980712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0.33966064453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areas of EYFS – Pupils achieving expected or exceeding level.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1959228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6.0598754882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Bespoke skill based assessment e.g. Phonic screening and KS1 and 2 SAT’s.</w:t>
            </w:r>
          </w:p>
        </w:tc>
      </w:tr>
      <w:tr>
        <w:trPr>
          <w:cantSplit w:val="0"/>
          <w:trHeight w:val="5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KS1 and 2 (Primary)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3980712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5-11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6.7196655273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Curriculum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1959228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6.0598754882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KS1 and KS2 SATS</w:t>
            </w:r>
          </w:p>
        </w:tc>
      </w:tr>
      <w:tr>
        <w:trPr>
          <w:cantSplit w:val="0"/>
          <w:trHeight w:val="76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KS3 and 4 (Secondary)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79797363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11-16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1.659851074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GCSE – Core subjects English, Maths, Science Accreditations.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1959228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0.6594848632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Yr 9 Connexions.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6.0598754882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KS4 – GCSE –Higher papers</w:t>
            </w:r>
          </w:p>
        </w:tc>
      </w:tr>
      <w:tr>
        <w:trPr>
          <w:cantSplit w:val="0"/>
          <w:trHeight w:val="7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KS5 (Post 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79797363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16-18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9.999694824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ASDAN qualifications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1959228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126.0598754882812" w:right="1042.166748046875" w:firstLine="1.3195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Entry level 2,3 qualifications – AQA Step up to English bronze, silver, gold level. KS5 – GCSE – Higher papers</w:t>
            </w:r>
          </w:p>
        </w:tc>
      </w:tr>
    </w:tb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4.51995849609375" w:right="0" w:hanging="9.459991455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 the pupils' learning journey at Woodlawn School, pupils will progress through the stages described above. At any time a pupil may move from one route to another where progress has been very positive or where there are other presenting challenging factors e.g. medical implications.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078125" w:line="243.3013916015625" w:lineRule="auto"/>
        <w:ind w:left="144.51995849609375" w:right="197.611083984375" w:firstLine="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individual strengths are met through careful bespoke plans to meet the individual’s needs. We will endeavour to meet these curriculum needs with a range of in-house and off-site learning opportunities.</w:t>
      </w:r>
    </w:p>
    <w:sectPr>
      <w:type w:val="continuous"/>
      <w:pgSz w:h="11920" w:w="16840" w:orient="landscape"/>
      <w:pgMar w:bottom="977.6611328125" w:top="242.998046875" w:left="1310" w:right="1405.562744140625" w:header="0" w:footer="720"/>
      <w:cols w:equalWidth="0" w:num="1">
        <w:col w:space="0" w:w="14124.437255859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